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5AEF0" w14:textId="77777777" w:rsidR="00FB63E9" w:rsidRDefault="00FB63E9">
      <w:r w:rsidRPr="000E2ABE">
        <w:rPr>
          <w:b/>
          <w:bCs/>
          <w:sz w:val="28"/>
          <w:szCs w:val="28"/>
          <w:u w:val="single"/>
        </w:rPr>
        <w:t>Treatment Option Considerations for Hyperadrenocorticism in Dogs</w:t>
      </w:r>
      <w:r w:rsidRPr="00FB63E9">
        <w:t xml:space="preserve"> </w:t>
      </w:r>
      <w:r w:rsidRPr="00FC6188">
        <w:rPr>
          <w:i/>
          <w:iCs/>
        </w:rPr>
        <w:t>Clinical Endocrinology Service/College of Veterinary Medicine/University of Tennessee</w:t>
      </w:r>
      <w:r w:rsidRPr="00FB63E9">
        <w:t xml:space="preserve"> </w:t>
      </w:r>
    </w:p>
    <w:p w14:paraId="464B1E7F" w14:textId="77777777" w:rsidR="00FB63E9" w:rsidRDefault="00FB63E9">
      <w:r w:rsidRPr="00FB63E9">
        <w:rPr>
          <w:i/>
          <w:iCs/>
        </w:rPr>
        <w:t>Where positive results of increased adrenal activity are present, consider the need for:</w:t>
      </w:r>
      <w:r w:rsidRPr="00FB63E9">
        <w:t xml:space="preserve"> </w:t>
      </w:r>
    </w:p>
    <w:p w14:paraId="2A44284B" w14:textId="13CA9DAA" w:rsidR="00FB63E9" w:rsidRDefault="00FB63E9" w:rsidP="00FB63E9">
      <w:pPr>
        <w:pStyle w:val="ListParagraph"/>
        <w:numPr>
          <w:ilvl w:val="0"/>
          <w:numId w:val="1"/>
        </w:numPr>
      </w:pPr>
      <w:r w:rsidRPr="00FB63E9">
        <w:rPr>
          <w:b/>
          <w:bCs/>
        </w:rPr>
        <w:t>Ultrasound and/or Endogenous ACTH</w:t>
      </w:r>
      <w:r w:rsidRPr="00FB63E9">
        <w:t xml:space="preserve">. Procedures to rule out primary adrenal tumor presence. </w:t>
      </w:r>
    </w:p>
    <w:p w14:paraId="261F99E2" w14:textId="2555C4FD" w:rsidR="00FC6188" w:rsidRDefault="00FB63E9" w:rsidP="00FB63E9">
      <w:pPr>
        <w:pStyle w:val="ListParagraph"/>
        <w:numPr>
          <w:ilvl w:val="0"/>
          <w:numId w:val="1"/>
        </w:numPr>
      </w:pPr>
      <w:r w:rsidRPr="00FB63E9">
        <w:rPr>
          <w:b/>
          <w:bCs/>
        </w:rPr>
        <w:t>Melatonin</w:t>
      </w:r>
      <w:r w:rsidRPr="00FB63E9">
        <w:t xml:space="preserve">. Often used as a first treatment, especially if alopecia is present, since it is cheap, has few side effects and is available in health food stores or via nutrient suppliers on the internet. Typically, a </w:t>
      </w:r>
      <w:r w:rsidRPr="00FB63E9">
        <w:rPr>
          <w:u w:val="single"/>
        </w:rPr>
        <w:t>dose of 3 mg</w:t>
      </w:r>
      <w:r w:rsidRPr="00FB63E9">
        <w:t xml:space="preserve"> is given q12hrs (BID) for dogs </w:t>
      </w:r>
      <w:r w:rsidR="00FC6188">
        <w:t xml:space="preserve">less than </w:t>
      </w:r>
      <w:r w:rsidRPr="00FB63E9">
        <w:t xml:space="preserve">30 </w:t>
      </w:r>
      <w:proofErr w:type="spellStart"/>
      <w:r w:rsidRPr="00FB63E9">
        <w:t>lbs</w:t>
      </w:r>
      <w:proofErr w:type="spellEnd"/>
      <w:r w:rsidR="00FC6188">
        <w:t xml:space="preserve">; a </w:t>
      </w:r>
      <w:r w:rsidR="00FC6188" w:rsidRPr="00FC6188">
        <w:rPr>
          <w:u w:val="single"/>
        </w:rPr>
        <w:t>dose of 6mg</w:t>
      </w:r>
      <w:r w:rsidRPr="00FB63E9">
        <w:t xml:space="preserve"> </w:t>
      </w:r>
      <w:r w:rsidR="00FC6188">
        <w:t>is given q12hrs</w:t>
      </w:r>
      <w:r w:rsidR="00C06168">
        <w:t xml:space="preserve"> </w:t>
      </w:r>
      <w:r w:rsidR="00FC6188">
        <w:t xml:space="preserve">(BID) for dogs greater than 30lbs. </w:t>
      </w:r>
      <w:r w:rsidRPr="00FC6188">
        <w:rPr>
          <w:b/>
          <w:bCs/>
        </w:rPr>
        <w:t>See Plumb’s Handbook.</w:t>
      </w:r>
      <w:r w:rsidRPr="00FB63E9">
        <w:t xml:space="preserve"> Regular melatonin is usually used rather than rapid release or extended</w:t>
      </w:r>
      <w:r w:rsidR="00FC6188">
        <w:t>-</w:t>
      </w:r>
      <w:r w:rsidRPr="00FB63E9">
        <w:t>release products. Melatonin has anti-gonadotropic activity, and it inhibits aromatase enzyme in tissues (</w:t>
      </w:r>
      <w:r w:rsidRPr="00FC6188">
        <w:rPr>
          <w:u w:val="single"/>
        </w:rPr>
        <w:t>decreases androstenedione and testosterone conversion into estradiol</w:t>
      </w:r>
      <w:r w:rsidRPr="00FB63E9">
        <w:t>) and 21-hydroxylase enzyme (</w:t>
      </w:r>
      <w:r w:rsidRPr="00FC6188">
        <w:rPr>
          <w:u w:val="single"/>
        </w:rPr>
        <w:t>lowers cortisol level</w:t>
      </w:r>
      <w:r w:rsidRPr="00FB63E9">
        <w:t xml:space="preserve">). Allow at least 4 months for treatment to be effective. Response time is variable among dogs. Monitor treatment effectiveness by improvement in clinical signs, biochemistries or by repeat of steroid profile. </w:t>
      </w:r>
    </w:p>
    <w:p w14:paraId="5664A129" w14:textId="27AF7E4F" w:rsidR="00FC6188" w:rsidRDefault="00FB63E9" w:rsidP="002C0729">
      <w:pPr>
        <w:pStyle w:val="ListParagraph"/>
        <w:numPr>
          <w:ilvl w:val="0"/>
          <w:numId w:val="1"/>
        </w:numPr>
      </w:pPr>
      <w:r w:rsidRPr="002C0729">
        <w:rPr>
          <w:b/>
          <w:bCs/>
        </w:rPr>
        <w:t>Melatonin Implants</w:t>
      </w:r>
      <w:r w:rsidRPr="00FB63E9">
        <w:t>. (WWW.MELATEK.NET). Sizes are 8, 12 and 18 mg for</w:t>
      </w:r>
      <w:r w:rsidR="00FC6188">
        <w:t xml:space="preserve"> less than 25, 25-50,</w:t>
      </w:r>
      <w:r w:rsidR="003F2329">
        <w:t xml:space="preserve"> </w:t>
      </w:r>
      <w:r w:rsidR="00FC6188">
        <w:t>and greater than</w:t>
      </w:r>
      <w:r w:rsidRPr="00FB63E9">
        <w:t xml:space="preserve"> 50 </w:t>
      </w:r>
      <w:proofErr w:type="spellStart"/>
      <w:r w:rsidRPr="00FB63E9">
        <w:t>lb</w:t>
      </w:r>
      <w:proofErr w:type="spellEnd"/>
      <w:r w:rsidRPr="00FB63E9">
        <w:t xml:space="preserve"> dogs, respectively. Effects last 3-4 months.</w:t>
      </w:r>
    </w:p>
    <w:p w14:paraId="5B4878D8" w14:textId="77777777" w:rsidR="00FC6188" w:rsidRDefault="00FB63E9" w:rsidP="003F2329">
      <w:r w:rsidRPr="003F2329">
        <w:rPr>
          <w:b/>
          <w:bCs/>
          <w:u w:val="single"/>
        </w:rPr>
        <w:t xml:space="preserve"> NOTE</w:t>
      </w:r>
      <w:r w:rsidRPr="00FB63E9">
        <w:t xml:space="preserve">: </w:t>
      </w:r>
      <w:r w:rsidRPr="003F2329">
        <w:rPr>
          <w:i/>
          <w:iCs/>
        </w:rPr>
        <w:t>Melatonin and flax hull product with lignans are often used together when estradiol is increased.</w:t>
      </w:r>
      <w:r w:rsidRPr="00FB63E9">
        <w:t xml:space="preserve"> Melatonin and lignans may also decrease other steroids such as cortisol and androstenedione (see Melatonin-lignan article on our website). </w:t>
      </w:r>
    </w:p>
    <w:p w14:paraId="681A386D" w14:textId="6B18C131" w:rsidR="00FC6188" w:rsidRDefault="00FB63E9" w:rsidP="002C0729">
      <w:pPr>
        <w:pStyle w:val="ListParagraph"/>
        <w:numPr>
          <w:ilvl w:val="0"/>
          <w:numId w:val="1"/>
        </w:numPr>
      </w:pPr>
      <w:r w:rsidRPr="002C0729">
        <w:rPr>
          <w:b/>
          <w:bCs/>
        </w:rPr>
        <w:t>Lignan.</w:t>
      </w:r>
      <w:r w:rsidRPr="00FB63E9">
        <w:t xml:space="preserve"> Lignan has </w:t>
      </w:r>
      <w:r w:rsidRPr="003F2329">
        <w:rPr>
          <w:u w:val="single"/>
        </w:rPr>
        <w:t>phytoestrogenic activity</w:t>
      </w:r>
      <w:r w:rsidRPr="00FB63E9">
        <w:t xml:space="preserve">, and competes with estradiol for tissue estrogen receptors, with less biological effect. Lignan also </w:t>
      </w:r>
      <w:r w:rsidRPr="003F2329">
        <w:rPr>
          <w:u w:val="single"/>
        </w:rPr>
        <w:t>inhibits aromatase</w:t>
      </w:r>
      <w:r w:rsidRPr="00FB63E9">
        <w:t xml:space="preserve"> </w:t>
      </w:r>
      <w:r w:rsidRPr="003F2329">
        <w:rPr>
          <w:u w:val="single"/>
        </w:rPr>
        <w:t>enzyme</w:t>
      </w:r>
      <w:r w:rsidRPr="00FB63E9">
        <w:t xml:space="preserve"> (</w:t>
      </w:r>
      <w:r w:rsidRPr="003F2329">
        <w:rPr>
          <w:i/>
          <w:iCs/>
        </w:rPr>
        <w:t>lowers estradiol</w:t>
      </w:r>
      <w:r w:rsidRPr="00FB63E9">
        <w:t>). Available as FLAX HULL (SDG) lignan or HMR lignan. Suggested doses: SDG lignan; one milligram/</w:t>
      </w:r>
      <w:proofErr w:type="spellStart"/>
      <w:r w:rsidRPr="00FB63E9">
        <w:t>lb</w:t>
      </w:r>
      <w:proofErr w:type="spellEnd"/>
      <w:r w:rsidRPr="00FB63E9">
        <w:t xml:space="preserve"> B. Wt./day. HMR lignan; 10-40 mg/day for small to large dogs. Lignan is available at health food stores and from various internet sites. </w:t>
      </w:r>
      <w:r w:rsidRPr="00B07B3E">
        <w:rPr>
          <w:i/>
          <w:iCs/>
        </w:rPr>
        <w:t>Information available on our website under Forms/Documents then click on Lignans Information</w:t>
      </w:r>
      <w:r w:rsidRPr="00FB63E9">
        <w:t>.</w:t>
      </w:r>
    </w:p>
    <w:p w14:paraId="214A48EF" w14:textId="77777777" w:rsidR="002C0729" w:rsidRDefault="00FB63E9" w:rsidP="002C0729">
      <w:pPr>
        <w:pStyle w:val="ListParagraph"/>
        <w:numPr>
          <w:ilvl w:val="0"/>
          <w:numId w:val="1"/>
        </w:numPr>
      </w:pPr>
      <w:r w:rsidRPr="003F2329">
        <w:rPr>
          <w:b/>
          <w:bCs/>
        </w:rPr>
        <w:t xml:space="preserve">Maintenance dose of </w:t>
      </w:r>
      <w:proofErr w:type="spellStart"/>
      <w:r w:rsidRPr="003F2329">
        <w:rPr>
          <w:b/>
          <w:bCs/>
        </w:rPr>
        <w:t>LysodrenTM</w:t>
      </w:r>
      <w:proofErr w:type="spellEnd"/>
      <w:r w:rsidRPr="00FB63E9">
        <w:t xml:space="preserve">. Often useful in combination with melatonin and lignan to help lower sex steroid levels other than estradiol, along with suppressive effect on cortisol level. This option skips the </w:t>
      </w:r>
      <w:proofErr w:type="spellStart"/>
      <w:r w:rsidRPr="00FB63E9">
        <w:t>Lysodren</w:t>
      </w:r>
      <w:proofErr w:type="spellEnd"/>
      <w:r w:rsidRPr="00FB63E9">
        <w:t xml:space="preserve"> loading dose phase and starts with maintenance therapy </w:t>
      </w:r>
      <w:r w:rsidRPr="003F2329">
        <w:rPr>
          <w:b/>
          <w:bCs/>
        </w:rPr>
        <w:t>NOTE:</w:t>
      </w:r>
      <w:r w:rsidRPr="00FB63E9">
        <w:t xml:space="preserve"> MONITOR CORTISOL LEVELS AS FOR TYPICAL CUSHING’S TREATMENT.</w:t>
      </w:r>
    </w:p>
    <w:p w14:paraId="6107F61C" w14:textId="5BE5FDE6" w:rsidR="00FC6188" w:rsidRPr="00B07B3E" w:rsidRDefault="00FB63E9" w:rsidP="002C0729">
      <w:pPr>
        <w:pStyle w:val="ListParagraph"/>
        <w:numPr>
          <w:ilvl w:val="0"/>
          <w:numId w:val="1"/>
        </w:numPr>
        <w:rPr>
          <w:b/>
          <w:bCs/>
        </w:rPr>
      </w:pPr>
      <w:r w:rsidRPr="00FB63E9">
        <w:t xml:space="preserve"> </w:t>
      </w:r>
      <w:proofErr w:type="spellStart"/>
      <w:r w:rsidRPr="003F2329">
        <w:rPr>
          <w:b/>
          <w:bCs/>
        </w:rPr>
        <w:t>LysodrenTM</w:t>
      </w:r>
      <w:proofErr w:type="spellEnd"/>
      <w:r w:rsidRPr="003F2329">
        <w:rPr>
          <w:b/>
          <w:bCs/>
        </w:rPr>
        <w:t>, traditional treatment for Cushing’s disease</w:t>
      </w:r>
      <w:r w:rsidRPr="00FB63E9">
        <w:t xml:space="preserve">. Very effective in lowering cortisol, progesterone, androstenedione and 17-hydroxyprogesterone levels. </w:t>
      </w:r>
      <w:r w:rsidRPr="003F2329">
        <w:rPr>
          <w:b/>
          <w:bCs/>
        </w:rPr>
        <w:t>NOTE</w:t>
      </w:r>
      <w:r w:rsidRPr="00FB63E9">
        <w:t xml:space="preserve">: </w:t>
      </w:r>
      <w:r w:rsidRPr="00B07B3E">
        <w:rPr>
          <w:b/>
          <w:bCs/>
        </w:rPr>
        <w:t xml:space="preserve">Estradiol may be synthesized by tissues other than the adrenals </w:t>
      </w:r>
      <w:r w:rsidRPr="00B07B3E">
        <w:rPr>
          <w:b/>
          <w:bCs/>
        </w:rPr>
        <w:lastRenderedPageBreak/>
        <w:t xml:space="preserve">therefore it is not always suppressed by </w:t>
      </w:r>
      <w:proofErr w:type="spellStart"/>
      <w:proofErr w:type="gramStart"/>
      <w:r w:rsidRPr="00B07B3E">
        <w:rPr>
          <w:b/>
          <w:bCs/>
        </w:rPr>
        <w:t>LysodrenTM</w:t>
      </w:r>
      <w:proofErr w:type="spellEnd"/>
      <w:r w:rsidRPr="00B07B3E">
        <w:rPr>
          <w:b/>
          <w:bCs/>
        </w:rPr>
        <w:t xml:space="preserve"> .</w:t>
      </w:r>
      <w:proofErr w:type="gramEnd"/>
      <w:r w:rsidRPr="00B07B3E">
        <w:rPr>
          <w:b/>
          <w:bCs/>
        </w:rPr>
        <w:t xml:space="preserve"> A baseline estradiol level </w:t>
      </w:r>
      <w:proofErr w:type="gramStart"/>
      <w:r w:rsidRPr="00B07B3E">
        <w:rPr>
          <w:b/>
          <w:bCs/>
        </w:rPr>
        <w:t>1 month</w:t>
      </w:r>
      <w:proofErr w:type="gramEnd"/>
      <w:r w:rsidRPr="00B07B3E">
        <w:rPr>
          <w:b/>
          <w:bCs/>
        </w:rPr>
        <w:t xml:space="preserve"> post-</w:t>
      </w:r>
      <w:proofErr w:type="spellStart"/>
      <w:r w:rsidRPr="00B07B3E">
        <w:rPr>
          <w:b/>
          <w:bCs/>
        </w:rPr>
        <w:t>Lysodren</w:t>
      </w:r>
      <w:proofErr w:type="spellEnd"/>
      <w:r w:rsidRPr="00B07B3E">
        <w:rPr>
          <w:b/>
          <w:bCs/>
        </w:rPr>
        <w:t xml:space="preserve"> will determine efficacy.</w:t>
      </w:r>
    </w:p>
    <w:p w14:paraId="464F1122" w14:textId="38B12839" w:rsidR="00FC6188" w:rsidRDefault="00FB63E9" w:rsidP="002C0729">
      <w:pPr>
        <w:pStyle w:val="ListParagraph"/>
        <w:numPr>
          <w:ilvl w:val="0"/>
          <w:numId w:val="3"/>
        </w:numPr>
      </w:pPr>
      <w:proofErr w:type="spellStart"/>
      <w:r w:rsidRPr="002C0729">
        <w:rPr>
          <w:b/>
          <w:bCs/>
        </w:rPr>
        <w:t>Trilostane</w:t>
      </w:r>
      <w:proofErr w:type="spellEnd"/>
      <w:r w:rsidRPr="00FB63E9">
        <w:t xml:space="preserve">. Available in the U.S. as </w:t>
      </w:r>
      <w:proofErr w:type="spellStart"/>
      <w:r w:rsidRPr="00FB63E9">
        <w:t>VetorylTM</w:t>
      </w:r>
      <w:proofErr w:type="spellEnd"/>
      <w:r w:rsidRPr="00FB63E9">
        <w:t xml:space="preserve"> from </w:t>
      </w:r>
      <w:proofErr w:type="spellStart"/>
      <w:r w:rsidRPr="00FB63E9">
        <w:t>Dechra</w:t>
      </w:r>
      <w:proofErr w:type="spellEnd"/>
      <w:r w:rsidRPr="00FB63E9">
        <w:t xml:space="preserve"> Veterinary Products. </w:t>
      </w:r>
      <w:r w:rsidRPr="00B07B3E">
        <w:rPr>
          <w:b/>
          <w:bCs/>
        </w:rPr>
        <w:t>NOTE</w:t>
      </w:r>
      <w:r w:rsidRPr="00FB63E9">
        <w:t xml:space="preserve">: </w:t>
      </w:r>
      <w:r w:rsidRPr="00B07B3E">
        <w:rPr>
          <w:u w:val="single"/>
        </w:rPr>
        <w:t xml:space="preserve">Frequently, 17-hydroxyprogesterone and other adrenal sex steroids are increased in dogs on </w:t>
      </w:r>
      <w:proofErr w:type="spellStart"/>
      <w:r w:rsidRPr="00B07B3E">
        <w:rPr>
          <w:u w:val="single"/>
        </w:rPr>
        <w:t>trilostane</w:t>
      </w:r>
      <w:proofErr w:type="spellEnd"/>
      <w:r w:rsidRPr="00B07B3E">
        <w:rPr>
          <w:u w:val="single"/>
        </w:rPr>
        <w:t xml:space="preserve"> therapy. For 17-hydroxyprogesterone, it is not known if there may be some assay cross reactivity with pregnenolones</w:t>
      </w:r>
      <w:r w:rsidRPr="00B07B3E">
        <w:rPr>
          <w:b/>
          <w:bCs/>
        </w:rPr>
        <w:t>. FURTHER NOTE:</w:t>
      </w:r>
      <w:r w:rsidRPr="00FB63E9">
        <w:t xml:space="preserve"> </w:t>
      </w:r>
      <w:r w:rsidRPr="00B07B3E">
        <w:rPr>
          <w:i/>
          <w:iCs/>
        </w:rPr>
        <w:t xml:space="preserve">Care should be used in switching from </w:t>
      </w:r>
      <w:proofErr w:type="spellStart"/>
      <w:r w:rsidRPr="00B07B3E">
        <w:rPr>
          <w:i/>
          <w:iCs/>
        </w:rPr>
        <w:t>trilostane</w:t>
      </w:r>
      <w:proofErr w:type="spellEnd"/>
      <w:r w:rsidRPr="00B07B3E">
        <w:rPr>
          <w:i/>
          <w:iCs/>
        </w:rPr>
        <w:t xml:space="preserve"> to </w:t>
      </w:r>
      <w:proofErr w:type="spellStart"/>
      <w:r w:rsidRPr="00B07B3E">
        <w:rPr>
          <w:i/>
          <w:iCs/>
        </w:rPr>
        <w:t>LysodrenTM</w:t>
      </w:r>
      <w:proofErr w:type="spellEnd"/>
      <w:r w:rsidRPr="00FB63E9">
        <w:t>. Allow adequate time for either drug’s effects on the adrenals to subside before switching treatments. (E.g., one month off drug; normal or increased stimulation-cortisol levels).</w:t>
      </w:r>
    </w:p>
    <w:p w14:paraId="08562D5E" w14:textId="5B41AC97" w:rsidR="00FC6188" w:rsidRPr="00B07B3E" w:rsidRDefault="00FB63E9" w:rsidP="002C0729">
      <w:pPr>
        <w:pStyle w:val="ListParagraph"/>
        <w:numPr>
          <w:ilvl w:val="0"/>
          <w:numId w:val="3"/>
        </w:numPr>
        <w:rPr>
          <w:i/>
          <w:iCs/>
        </w:rPr>
      </w:pPr>
      <w:r w:rsidRPr="002C0729">
        <w:rPr>
          <w:b/>
          <w:bCs/>
        </w:rPr>
        <w:t>Ketoconazole</w:t>
      </w:r>
      <w:r w:rsidRPr="00FB63E9">
        <w:t xml:space="preserve">. Cushing’s disease treatment. Effective for increased cortisol. Consider 6 to 12 mg/kg, BID. </w:t>
      </w:r>
      <w:r w:rsidRPr="00B07B3E">
        <w:rPr>
          <w:i/>
          <w:iCs/>
        </w:rPr>
        <w:t xml:space="preserve">See article on ketoconazole treatment in JAVMA, 233(12):1896, 2008. </w:t>
      </w:r>
    </w:p>
    <w:p w14:paraId="2A0B78C8" w14:textId="6BF86A83" w:rsidR="002C0729" w:rsidRDefault="00FB63E9" w:rsidP="002C0729">
      <w:pPr>
        <w:pStyle w:val="ListParagraph"/>
        <w:numPr>
          <w:ilvl w:val="0"/>
          <w:numId w:val="3"/>
        </w:numPr>
      </w:pPr>
      <w:r w:rsidRPr="002C0729">
        <w:rPr>
          <w:b/>
          <w:bCs/>
        </w:rPr>
        <w:t>Selegiline (</w:t>
      </w:r>
      <w:proofErr w:type="spellStart"/>
      <w:r w:rsidRPr="002C0729">
        <w:rPr>
          <w:b/>
          <w:bCs/>
        </w:rPr>
        <w:t>AniprylTM</w:t>
      </w:r>
      <w:proofErr w:type="spellEnd"/>
      <w:r w:rsidRPr="002C0729">
        <w:rPr>
          <w:b/>
          <w:bCs/>
        </w:rPr>
        <w:t>)</w:t>
      </w:r>
      <w:r w:rsidRPr="00FB63E9">
        <w:t xml:space="preserve">. A less used alternative Cushing’s disease treatment. See Plumb’s Handbook. </w:t>
      </w:r>
    </w:p>
    <w:p w14:paraId="4280E2DC" w14:textId="1525688D" w:rsidR="00FB63E9" w:rsidRPr="002C0729" w:rsidRDefault="00FB63E9" w:rsidP="002C0729">
      <w:pPr>
        <w:rPr>
          <w:b/>
          <w:bCs/>
        </w:rPr>
      </w:pPr>
      <w:r w:rsidRPr="002C0729">
        <w:rPr>
          <w:b/>
          <w:bCs/>
        </w:rPr>
        <w:t xml:space="preserve">WARNING: Products used as hormone replacement therapy by owner may result in high serum levels of estradiol, progestins, and/or testosterone, as well as nipple, mammary gland, vulva, and/or clitoris enlargement, small testicles in dog. </w:t>
      </w:r>
    </w:p>
    <w:p w14:paraId="2070EF72" w14:textId="21BBF3B3" w:rsidR="00FB63E9" w:rsidRDefault="00FB63E9">
      <w:pPr>
        <w:rPr>
          <w:b/>
          <w:bCs/>
        </w:rPr>
      </w:pPr>
      <w:r w:rsidRPr="00B07B3E">
        <w:rPr>
          <w:b/>
          <w:bCs/>
          <w:u w:val="single"/>
        </w:rPr>
        <w:t>For further information</w:t>
      </w:r>
      <w:r w:rsidRPr="00B07B3E">
        <w:rPr>
          <w:b/>
          <w:bCs/>
        </w:rPr>
        <w:t xml:space="preserve"> on our Service (e.g., submission, shipping, protocols, review articles) see our website </w:t>
      </w:r>
      <w:r w:rsidRPr="00B07B3E">
        <w:rPr>
          <w:b/>
          <w:bCs/>
          <w:u w:val="single"/>
        </w:rPr>
        <w:t>(www.vet.utk.edu/diagnostic/endocrinology</w:t>
      </w:r>
      <w:r w:rsidRPr="00B07B3E">
        <w:rPr>
          <w:b/>
          <w:bCs/>
        </w:rPr>
        <w:t>). Revised 1-27-16.</w:t>
      </w:r>
    </w:p>
    <w:p w14:paraId="3C16AC25" w14:textId="77777777" w:rsidR="008C1FFD" w:rsidRDefault="008C1FFD">
      <w:pPr>
        <w:rPr>
          <w:b/>
          <w:bCs/>
        </w:rPr>
      </w:pPr>
    </w:p>
    <w:p w14:paraId="6A315CF7" w14:textId="7108D019" w:rsidR="008C1FFD" w:rsidRPr="00B07B3E" w:rsidRDefault="008C1FFD">
      <w:pPr>
        <w:rPr>
          <w:b/>
          <w:bCs/>
        </w:rPr>
      </w:pPr>
      <w:r>
        <w:rPr>
          <w:b/>
          <w:bCs/>
        </w:rPr>
        <w:t xml:space="preserve">Additional information </w:t>
      </w:r>
      <w:proofErr w:type="gramStart"/>
      <w:r>
        <w:rPr>
          <w:b/>
          <w:bCs/>
        </w:rPr>
        <w:t xml:space="preserve">available </w:t>
      </w:r>
      <w:r w:rsidR="00F1255A">
        <w:rPr>
          <w:b/>
          <w:bCs/>
        </w:rPr>
        <w:t>:</w:t>
      </w:r>
      <w:proofErr w:type="gramEnd"/>
      <w:r w:rsidR="00F1255A">
        <w:rPr>
          <w:b/>
          <w:bCs/>
        </w:rPr>
        <w:t xml:space="preserve"> </w:t>
      </w:r>
      <w:r w:rsidR="00F1255A" w:rsidRPr="00F1255A">
        <w:rPr>
          <w:b/>
          <w:bCs/>
        </w:rPr>
        <w:t>DIAGNOSTIC LABORATORY INSIGHT WITH REGARD TO ADRENAL DISEASE Dr. Jack W. Oliver, D.V.M., Ph.D. Knoxville, TN (20th ACVIM Forum Proceedings, Dallas, TX. Pp. 541-543, 2002)</w:t>
      </w:r>
      <w:r w:rsidR="00F1255A">
        <w:rPr>
          <w:b/>
          <w:bCs/>
        </w:rPr>
        <w:t xml:space="preserve">   </w:t>
      </w:r>
      <w:hyperlink r:id="rId5" w:history="1">
        <w:r w:rsidRPr="008C1FFD">
          <w:rPr>
            <w:rStyle w:val="Hyperlink"/>
            <w:b/>
            <w:bCs/>
          </w:rPr>
          <w:t xml:space="preserve">Microsoft Word - Diagnostic Laboratory Insight </w:t>
        </w:r>
        <w:proofErr w:type="spellStart"/>
        <w:r w:rsidRPr="008C1FFD">
          <w:rPr>
            <w:rStyle w:val="Hyperlink"/>
            <w:b/>
            <w:bCs/>
          </w:rPr>
          <w:t>with^J</w:t>
        </w:r>
        <w:proofErr w:type="spellEnd"/>
        <w:r w:rsidRPr="008C1FFD">
          <w:rPr>
            <w:rStyle w:val="Hyperlink"/>
            <w:b/>
            <w:bCs/>
          </w:rPr>
          <w:t xml:space="preserve"> ACVIM </w:t>
        </w:r>
        <w:proofErr w:type="spellStart"/>
        <w:r w:rsidRPr="008C1FFD">
          <w:rPr>
            <w:rStyle w:val="Hyperlink"/>
            <w:b/>
            <w:bCs/>
          </w:rPr>
          <w:t>Mtg^J</w:t>
        </w:r>
        <w:proofErr w:type="spellEnd"/>
        <w:r w:rsidRPr="008C1FFD">
          <w:rPr>
            <w:rStyle w:val="Hyperlink"/>
            <w:b/>
            <w:bCs/>
          </w:rPr>
          <w:t xml:space="preserve"> 2002.doc</w:t>
        </w:r>
      </w:hyperlink>
    </w:p>
    <w:sectPr w:rsidR="008C1FFD" w:rsidRPr="00B07B3E" w:rsidSect="000070EF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F0D76"/>
    <w:multiLevelType w:val="hybridMultilevel"/>
    <w:tmpl w:val="3208E3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24E91"/>
    <w:multiLevelType w:val="hybridMultilevel"/>
    <w:tmpl w:val="84EAA9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D0523"/>
    <w:multiLevelType w:val="hybridMultilevel"/>
    <w:tmpl w:val="20665010"/>
    <w:lvl w:ilvl="0" w:tplc="0A269300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833012">
    <w:abstractNumId w:val="1"/>
  </w:num>
  <w:num w:numId="2" w16cid:durableId="1660420283">
    <w:abstractNumId w:val="0"/>
  </w:num>
  <w:num w:numId="3" w16cid:durableId="891579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E9"/>
    <w:rsid w:val="000070EF"/>
    <w:rsid w:val="000E2ABE"/>
    <w:rsid w:val="002C0729"/>
    <w:rsid w:val="003F2329"/>
    <w:rsid w:val="0043770F"/>
    <w:rsid w:val="006E6C6B"/>
    <w:rsid w:val="008C1FFD"/>
    <w:rsid w:val="009D612F"/>
    <w:rsid w:val="00B07B3E"/>
    <w:rsid w:val="00C06168"/>
    <w:rsid w:val="00F1255A"/>
    <w:rsid w:val="00FB63E9"/>
    <w:rsid w:val="00FC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4B55B"/>
  <w15:chartTrackingRefBased/>
  <w15:docId w15:val="{9E7D8C67-B131-4A74-BBE4-68FDABE2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3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1F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etmed.tennessee.edu/wp-content/uploads/sites/4/Diagnostic_Laboratory_Insight_with_ACVIM_Mtg_200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Schuur</dc:creator>
  <cp:keywords/>
  <dc:description/>
  <cp:lastModifiedBy>Dale Schuur</cp:lastModifiedBy>
  <cp:revision>7</cp:revision>
  <dcterms:created xsi:type="dcterms:W3CDTF">2026-04-12T16:05:00Z</dcterms:created>
  <dcterms:modified xsi:type="dcterms:W3CDTF">2026-04-12T17:04:00Z</dcterms:modified>
</cp:coreProperties>
</file>